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32E1" w14:textId="2B80A30E" w:rsidR="00BD66C6" w:rsidRPr="0079086E" w:rsidRDefault="0079086E" w:rsidP="00793E42">
      <w:pPr>
        <w:spacing w:after="0" w:line="240" w:lineRule="auto"/>
        <w:jc w:val="center"/>
        <w:rPr>
          <w:b/>
          <w:bCs/>
        </w:rPr>
      </w:pPr>
      <w:r w:rsidRPr="0079086E">
        <w:rPr>
          <w:b/>
          <w:bCs/>
        </w:rPr>
        <w:t>APBC APEL Q&amp;A October 2021</w:t>
      </w:r>
    </w:p>
    <w:p w14:paraId="54848F51" w14:textId="24427D53" w:rsidR="0079086E" w:rsidRPr="0079086E" w:rsidRDefault="0079086E" w:rsidP="00793E42">
      <w:pPr>
        <w:spacing w:after="0" w:line="240" w:lineRule="auto"/>
        <w:jc w:val="center"/>
        <w:rPr>
          <w:b/>
          <w:bCs/>
        </w:rPr>
      </w:pPr>
      <w:r w:rsidRPr="0079086E">
        <w:rPr>
          <w:b/>
          <w:bCs/>
        </w:rPr>
        <w:t xml:space="preserve">Anne McBride </w:t>
      </w:r>
      <w:r w:rsidR="00EC2700">
        <w:rPr>
          <w:b/>
          <w:bCs/>
        </w:rPr>
        <w:tab/>
      </w:r>
      <w:r w:rsidRPr="0079086E">
        <w:rPr>
          <w:b/>
          <w:bCs/>
        </w:rPr>
        <w:tab/>
        <w:t>Jane Williams</w:t>
      </w:r>
    </w:p>
    <w:p w14:paraId="69F2C16C" w14:textId="233BB82A" w:rsidR="0079086E" w:rsidRDefault="0079086E" w:rsidP="00793E42">
      <w:pPr>
        <w:spacing w:after="0" w:line="240" w:lineRule="auto"/>
        <w:rPr>
          <w:b/>
          <w:bCs/>
        </w:rPr>
      </w:pPr>
      <w:r w:rsidRPr="0079086E">
        <w:rPr>
          <w:b/>
          <w:bCs/>
        </w:rPr>
        <w:t>Basic Principles:</w:t>
      </w:r>
    </w:p>
    <w:p w14:paraId="4514D66F" w14:textId="0F6F7FB6" w:rsidR="0079086E" w:rsidRDefault="0079086E" w:rsidP="00793E4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The ABTC standards for Animal Behaviour Technician </w:t>
      </w:r>
      <w:r w:rsidR="00F43B90">
        <w:rPr>
          <w:b/>
          <w:bCs/>
        </w:rPr>
        <w:t xml:space="preserve">(ABT) </w:t>
      </w:r>
      <w:r>
        <w:rPr>
          <w:b/>
          <w:bCs/>
        </w:rPr>
        <w:t xml:space="preserve">and Clinical Animal Behaviourist </w:t>
      </w:r>
      <w:r w:rsidR="00F43B90">
        <w:rPr>
          <w:b/>
          <w:bCs/>
        </w:rPr>
        <w:t xml:space="preserve">(CAB) </w:t>
      </w:r>
      <w:r w:rsidR="00A60D72">
        <w:rPr>
          <w:b/>
          <w:bCs/>
        </w:rPr>
        <w:t>have two parts:</w:t>
      </w:r>
    </w:p>
    <w:p w14:paraId="438324FC" w14:textId="77777777" w:rsidR="00793E42" w:rsidRDefault="00793E42" w:rsidP="00793E42">
      <w:pPr>
        <w:spacing w:after="0" w:line="240" w:lineRule="auto"/>
        <w:rPr>
          <w:b/>
          <w:bCs/>
        </w:rPr>
      </w:pPr>
    </w:p>
    <w:p w14:paraId="18D49B12" w14:textId="5BA22AA3" w:rsidR="00A60D72" w:rsidRDefault="00A60D72" w:rsidP="00793E4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60D72">
        <w:rPr>
          <w:b/>
          <w:bCs/>
        </w:rPr>
        <w:t xml:space="preserve">Knowledge and Understanding </w:t>
      </w:r>
      <w:r>
        <w:rPr>
          <w:b/>
          <w:bCs/>
        </w:rPr>
        <w:t xml:space="preserve">– the </w:t>
      </w:r>
      <w:r w:rsidRPr="00A60D72">
        <w:rPr>
          <w:b/>
          <w:bCs/>
        </w:rPr>
        <w:t>underlying basis of being a professional practitioner. One needs to know and understand</w:t>
      </w:r>
      <w:r>
        <w:rPr>
          <w:b/>
          <w:bCs/>
        </w:rPr>
        <w:t>,</w:t>
      </w:r>
      <w:r w:rsidRPr="00A60D72">
        <w:rPr>
          <w:b/>
          <w:bCs/>
        </w:rPr>
        <w:t xml:space="preserve"> before one can apply that knowledge effectively and appropriately in practice.  </w:t>
      </w:r>
      <w:r>
        <w:rPr>
          <w:b/>
          <w:bCs/>
        </w:rPr>
        <w:t xml:space="preserve">The learning which any individual undertakes </w:t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be able to demonstrate the Knowledge and Understanding will be unique to that person. There are different ways of gaining </w:t>
      </w:r>
      <w:proofErr w:type="gramStart"/>
      <w:r w:rsidR="00F43B90">
        <w:rPr>
          <w:b/>
          <w:bCs/>
        </w:rPr>
        <w:t>all of</w:t>
      </w:r>
      <w:proofErr w:type="gramEnd"/>
      <w:r w:rsidR="00F43B90">
        <w:rPr>
          <w:b/>
          <w:bCs/>
        </w:rPr>
        <w:t xml:space="preserve"> the </w:t>
      </w:r>
      <w:r>
        <w:rPr>
          <w:b/>
          <w:bCs/>
        </w:rPr>
        <w:t>Knowledge and Understanding</w:t>
      </w:r>
      <w:r w:rsidR="00F43B90">
        <w:rPr>
          <w:b/>
          <w:bCs/>
        </w:rPr>
        <w:t xml:space="preserve"> set out as standard statements for the ABT or CAB role</w:t>
      </w:r>
      <w:r>
        <w:rPr>
          <w:b/>
          <w:bCs/>
        </w:rPr>
        <w:t>:</w:t>
      </w:r>
    </w:p>
    <w:p w14:paraId="774AA3F3" w14:textId="77777777" w:rsidR="00D85DAD" w:rsidRDefault="00D85DAD" w:rsidP="00793E42">
      <w:pPr>
        <w:pStyle w:val="ListParagraph"/>
        <w:spacing w:after="0" w:line="240" w:lineRule="auto"/>
        <w:rPr>
          <w:b/>
          <w:bCs/>
        </w:rPr>
      </w:pPr>
    </w:p>
    <w:p w14:paraId="1A766B7D" w14:textId="206188DC" w:rsidR="00A60D72" w:rsidRDefault="00A60D72" w:rsidP="00793E4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By the successful completion and assessment of an ABTC recognised course</w:t>
      </w:r>
      <w:r w:rsidR="00D85DAD">
        <w:rPr>
          <w:b/>
          <w:bCs/>
        </w:rPr>
        <w:t xml:space="preserve"> </w:t>
      </w:r>
      <w:hyperlink r:id="rId5" w:history="1">
        <w:r w:rsidR="00D85DAD" w:rsidRPr="00D85DAD">
          <w:rPr>
            <w:rStyle w:val="Hyperlink"/>
            <w:b/>
            <w:bCs/>
          </w:rPr>
          <w:t>Recognised Courses – ABTC</w:t>
        </w:r>
      </w:hyperlink>
    </w:p>
    <w:p w14:paraId="1A94E01C" w14:textId="60AC2D62" w:rsidR="00A60D72" w:rsidRDefault="00A60D72" w:rsidP="00793E4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Through </w:t>
      </w:r>
      <w:r w:rsidR="00F43B90">
        <w:rPr>
          <w:b/>
          <w:bCs/>
        </w:rPr>
        <w:t xml:space="preserve">a variety of learning experiences which collectively cover </w:t>
      </w:r>
      <w:proofErr w:type="gramStart"/>
      <w:r w:rsidR="00F43B90">
        <w:rPr>
          <w:b/>
          <w:bCs/>
        </w:rPr>
        <w:t>all of</w:t>
      </w:r>
      <w:proofErr w:type="gramEnd"/>
      <w:r w:rsidR="00F43B90">
        <w:rPr>
          <w:b/>
          <w:bCs/>
        </w:rPr>
        <w:t xml:space="preserve"> the </w:t>
      </w:r>
      <w:r w:rsidR="00F43B90" w:rsidRPr="00F43B90">
        <w:rPr>
          <w:b/>
          <w:bCs/>
        </w:rPr>
        <w:t>Knowledge and Understanding</w:t>
      </w:r>
      <w:r w:rsidR="00F43B90">
        <w:rPr>
          <w:b/>
          <w:bCs/>
        </w:rPr>
        <w:t xml:space="preserve"> in the role standards</w:t>
      </w:r>
      <w:r w:rsidR="00791435">
        <w:rPr>
          <w:b/>
          <w:bCs/>
        </w:rPr>
        <w:t>, through a process called APEL</w:t>
      </w:r>
    </w:p>
    <w:p w14:paraId="01A2E3EE" w14:textId="77777777" w:rsidR="00A60D72" w:rsidRPr="00A60D72" w:rsidRDefault="00A60D72" w:rsidP="00793E42">
      <w:pPr>
        <w:spacing w:after="0" w:line="240" w:lineRule="auto"/>
        <w:rPr>
          <w:b/>
          <w:bCs/>
        </w:rPr>
      </w:pPr>
    </w:p>
    <w:p w14:paraId="77381F27" w14:textId="188ED4B1" w:rsidR="00A60D72" w:rsidRDefault="00A60D72" w:rsidP="00793E4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Performance Criteria</w:t>
      </w:r>
      <w:r w:rsidR="00791435">
        <w:rPr>
          <w:b/>
          <w:bCs/>
        </w:rPr>
        <w:t xml:space="preserve"> – the skills, experience and competences needed to carry out the role. One needs to be </w:t>
      </w:r>
      <w:proofErr w:type="gramStart"/>
      <w:r w:rsidR="00791435">
        <w:rPr>
          <w:b/>
          <w:bCs/>
        </w:rPr>
        <w:t>apply</w:t>
      </w:r>
      <w:proofErr w:type="gramEnd"/>
      <w:r w:rsidR="00791435">
        <w:rPr>
          <w:b/>
          <w:bCs/>
        </w:rPr>
        <w:t xml:space="preserve"> the </w:t>
      </w:r>
      <w:r w:rsidR="00791435" w:rsidRPr="00791435">
        <w:rPr>
          <w:b/>
          <w:bCs/>
        </w:rPr>
        <w:t>Knowledge and Understanding</w:t>
      </w:r>
      <w:r w:rsidR="00791435">
        <w:rPr>
          <w:b/>
          <w:bCs/>
        </w:rPr>
        <w:t xml:space="preserve"> to practical work situations to carry out the role, effectively and professionally.</w:t>
      </w:r>
      <w:r w:rsidR="00D85DAD">
        <w:rPr>
          <w:b/>
          <w:bCs/>
        </w:rPr>
        <w:t xml:space="preserve"> This process is not dealt with here.</w:t>
      </w:r>
    </w:p>
    <w:p w14:paraId="1B3482EB" w14:textId="78E9EAA3" w:rsidR="00791435" w:rsidRDefault="00791435" w:rsidP="00793E42">
      <w:pPr>
        <w:spacing w:after="0" w:line="240" w:lineRule="auto"/>
        <w:rPr>
          <w:b/>
          <w:bCs/>
        </w:rPr>
      </w:pPr>
    </w:p>
    <w:p w14:paraId="40DB7197" w14:textId="192EB669" w:rsidR="00791435" w:rsidRDefault="00791435" w:rsidP="00793E42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demonstrate that one has the </w:t>
      </w:r>
      <w:r w:rsidRPr="00791435">
        <w:rPr>
          <w:b/>
          <w:bCs/>
        </w:rPr>
        <w:t>Knowledge and Understanding</w:t>
      </w:r>
      <w:r>
        <w:rPr>
          <w:b/>
          <w:bCs/>
        </w:rPr>
        <w:t xml:space="preserve"> for a role, </w:t>
      </w:r>
      <w:r w:rsidR="00AF5B5A">
        <w:rPr>
          <w:b/>
          <w:bCs/>
        </w:rPr>
        <w:t xml:space="preserve">without completing an ABTC recognised course, </w:t>
      </w:r>
      <w:r>
        <w:rPr>
          <w:b/>
          <w:bCs/>
        </w:rPr>
        <w:t xml:space="preserve">as stated in B </w:t>
      </w:r>
      <w:r w:rsidR="00BB2B9B">
        <w:rPr>
          <w:b/>
          <w:bCs/>
        </w:rPr>
        <w:t>above</w:t>
      </w:r>
      <w:r w:rsidR="00DF3505">
        <w:rPr>
          <w:b/>
          <w:bCs/>
        </w:rPr>
        <w:t>,</w:t>
      </w:r>
      <w:r w:rsidR="00BB2B9B">
        <w:rPr>
          <w:b/>
          <w:bCs/>
        </w:rPr>
        <w:t xml:space="preserve"> the</w:t>
      </w:r>
      <w:r>
        <w:rPr>
          <w:b/>
          <w:bCs/>
        </w:rPr>
        <w:t xml:space="preserve"> APEL – Accreditation of Prior Experience and Learning </w:t>
      </w:r>
      <w:r w:rsidR="00BB2B9B">
        <w:rPr>
          <w:b/>
          <w:bCs/>
        </w:rPr>
        <w:t xml:space="preserve">– process is used. We are looking </w:t>
      </w:r>
      <w:r w:rsidR="00AF5B5A">
        <w:rPr>
          <w:b/>
          <w:bCs/>
        </w:rPr>
        <w:t xml:space="preserve">here </w:t>
      </w:r>
      <w:r w:rsidR="00BB2B9B">
        <w:rPr>
          <w:b/>
          <w:bCs/>
        </w:rPr>
        <w:t>at the APEL process as set out by ABTC.</w:t>
      </w:r>
    </w:p>
    <w:p w14:paraId="30188BF9" w14:textId="77777777" w:rsidR="00793E42" w:rsidRDefault="00793E42" w:rsidP="00793E42">
      <w:pPr>
        <w:spacing w:after="0" w:line="240" w:lineRule="auto"/>
        <w:rPr>
          <w:b/>
          <w:bCs/>
        </w:rPr>
      </w:pPr>
    </w:p>
    <w:p w14:paraId="14776180" w14:textId="37B08F04" w:rsidR="00BB2B9B" w:rsidRDefault="00BB2B9B" w:rsidP="00793E42">
      <w:pPr>
        <w:spacing w:after="0" w:line="240" w:lineRule="auto"/>
      </w:pPr>
      <w:r w:rsidRPr="00793E42">
        <w:t xml:space="preserve">There is a huge variety of learning experiences which may contribute to the APEL process, which may take place over </w:t>
      </w:r>
      <w:r w:rsidR="00E93EF8">
        <w:t>several</w:t>
      </w:r>
      <w:r w:rsidRPr="00793E42">
        <w:t xml:space="preserve"> years and involve many different activities.</w:t>
      </w:r>
    </w:p>
    <w:p w14:paraId="043E0820" w14:textId="77777777" w:rsidR="00793E42" w:rsidRPr="00793E42" w:rsidRDefault="00793E42" w:rsidP="00793E42">
      <w:pPr>
        <w:spacing w:after="0" w:line="240" w:lineRule="auto"/>
      </w:pPr>
    </w:p>
    <w:p w14:paraId="1B46F043" w14:textId="5ACA533E" w:rsidR="00BB2B9B" w:rsidRDefault="00BB2B9B" w:rsidP="00793E42">
      <w:pPr>
        <w:spacing w:after="0" w:line="240" w:lineRule="auto"/>
      </w:pPr>
      <w:r w:rsidRPr="00793E42">
        <w:t>The activities themselves are not defined in any wa</w:t>
      </w:r>
      <w:r w:rsidR="00987D5C" w:rsidRPr="00793E42">
        <w:t>y</w:t>
      </w:r>
      <w:r w:rsidRPr="00793E42">
        <w:t xml:space="preserve"> as suitable, or not, through the APEL process. The type of provider, whether self-taught, or gained through work experience, or as part of an assessed course is not important. The levels of the learning programmes may not be known and are also not necessarily relevant. </w:t>
      </w:r>
    </w:p>
    <w:p w14:paraId="1EE86464" w14:textId="77777777" w:rsidR="00793E42" w:rsidRPr="00793E42" w:rsidRDefault="00793E42" w:rsidP="00793E42">
      <w:pPr>
        <w:spacing w:after="0" w:line="240" w:lineRule="auto"/>
      </w:pPr>
    </w:p>
    <w:p w14:paraId="604CDEFB" w14:textId="547EC50E" w:rsidR="00BB2B9B" w:rsidRDefault="00BB2B9B" w:rsidP="00793E42">
      <w:pPr>
        <w:spacing w:after="0" w:line="240" w:lineRule="auto"/>
      </w:pPr>
      <w:r w:rsidRPr="00E93EF8">
        <w:rPr>
          <w:b/>
          <w:bCs/>
        </w:rPr>
        <w:t xml:space="preserve">What is crucial, is what </w:t>
      </w:r>
      <w:r w:rsidR="00E93EF8">
        <w:rPr>
          <w:b/>
          <w:bCs/>
        </w:rPr>
        <w:t>the</w:t>
      </w:r>
      <w:r w:rsidRPr="00E93EF8">
        <w:rPr>
          <w:b/>
          <w:bCs/>
        </w:rPr>
        <w:t xml:space="preserve"> individual has taken from their learning experiences, and the level of Knowledge and Understanding which has been gained by them.</w:t>
      </w:r>
      <w:r w:rsidR="00931F28" w:rsidRPr="00793E42">
        <w:t xml:space="preserve"> Collectively their learning must allow an individual to demonstrate their Knowledge and Understanding for the whole role as set out in the </w:t>
      </w:r>
      <w:r w:rsidR="00AF5B5A" w:rsidRPr="00793E42">
        <w:t xml:space="preserve">ABTC </w:t>
      </w:r>
      <w:r w:rsidR="00931F28" w:rsidRPr="00793E42">
        <w:t>standards.</w:t>
      </w:r>
    </w:p>
    <w:p w14:paraId="051C8961" w14:textId="77777777" w:rsidR="00793E42" w:rsidRPr="00793E42" w:rsidRDefault="00793E42" w:rsidP="00793E42">
      <w:pPr>
        <w:spacing w:after="0" w:line="240" w:lineRule="auto"/>
      </w:pPr>
    </w:p>
    <w:p w14:paraId="2FEBD4FF" w14:textId="7C63477D" w:rsidR="00931F28" w:rsidRPr="00793E42" w:rsidRDefault="00931F28" w:rsidP="00793E42">
      <w:pPr>
        <w:spacing w:after="0" w:line="240" w:lineRule="auto"/>
        <w:rPr>
          <w:b/>
          <w:bCs/>
        </w:rPr>
      </w:pPr>
      <w:r w:rsidRPr="00793E42">
        <w:rPr>
          <w:b/>
          <w:bCs/>
        </w:rPr>
        <w:t xml:space="preserve">Types of evidence </w:t>
      </w:r>
      <w:r w:rsidR="00D85DAD" w:rsidRPr="00793E42">
        <w:rPr>
          <w:b/>
          <w:bCs/>
        </w:rPr>
        <w:t xml:space="preserve">which could be used </w:t>
      </w:r>
      <w:r w:rsidRPr="00793E42">
        <w:rPr>
          <w:b/>
          <w:bCs/>
        </w:rPr>
        <w:t>to meet Knowledge and Understanding</w:t>
      </w:r>
      <w:r w:rsidR="00AF5B5A" w:rsidRPr="00793E42">
        <w:rPr>
          <w:b/>
          <w:bCs/>
        </w:rPr>
        <w:t xml:space="preserve"> through APEL, for non-recognised courses</w:t>
      </w:r>
      <w:r w:rsidRPr="00793E42">
        <w:rPr>
          <w:b/>
          <w:bCs/>
        </w:rPr>
        <w:t>:</w:t>
      </w:r>
    </w:p>
    <w:p w14:paraId="2B1FE918" w14:textId="77777777" w:rsidR="00931F28" w:rsidRPr="00793E42" w:rsidRDefault="00931F28" w:rsidP="00793E42">
      <w:pPr>
        <w:numPr>
          <w:ilvl w:val="0"/>
          <w:numId w:val="3"/>
        </w:numPr>
        <w:spacing w:after="0" w:line="240" w:lineRule="auto"/>
      </w:pPr>
      <w:bookmarkStart w:id="0" w:name="_Hlk54969794"/>
      <w:bookmarkStart w:id="1" w:name="_Hlk63437727"/>
      <w:r w:rsidRPr="00793E42">
        <w:t>Module descriptors and related certificates showing you have completed relevant formal assessed learning.</w:t>
      </w:r>
    </w:p>
    <w:bookmarkEnd w:id="0"/>
    <w:p w14:paraId="023E1889" w14:textId="1778017B" w:rsidR="00931F28" w:rsidRPr="00793E42" w:rsidRDefault="00931F28" w:rsidP="00793E42">
      <w:pPr>
        <w:numPr>
          <w:ilvl w:val="0"/>
          <w:numId w:val="3"/>
        </w:numPr>
        <w:spacing w:after="0" w:line="240" w:lineRule="auto"/>
      </w:pPr>
      <w:r w:rsidRPr="00793E42">
        <w:t>Descriptors and related certificates showing you have attended non</w:t>
      </w:r>
      <w:r w:rsidR="00AF5B5A" w:rsidRPr="00793E42">
        <w:t>-</w:t>
      </w:r>
      <w:r w:rsidRPr="00793E42">
        <w:t>assessed courses or events. For example, these may be workplace-based training, informal courses, webinars.</w:t>
      </w:r>
    </w:p>
    <w:p w14:paraId="233FF8F1" w14:textId="77777777" w:rsidR="00931F28" w:rsidRPr="00793E42" w:rsidRDefault="00931F28" w:rsidP="00793E42">
      <w:pPr>
        <w:numPr>
          <w:ilvl w:val="0"/>
          <w:numId w:val="3"/>
        </w:numPr>
        <w:spacing w:after="0" w:line="240" w:lineRule="auto"/>
      </w:pPr>
      <w:r w:rsidRPr="00793E42">
        <w:t>Self-directed learning, which may include reading you have done, leaflets or articles you have written, volunteer activities, life experiences, self-instruction, family responsibilities and hobbies.</w:t>
      </w:r>
    </w:p>
    <w:p w14:paraId="683DFFBB" w14:textId="77777777" w:rsidR="00931F28" w:rsidRPr="00793E42" w:rsidRDefault="00931F28" w:rsidP="00793E42">
      <w:pPr>
        <w:numPr>
          <w:ilvl w:val="0"/>
          <w:numId w:val="3"/>
        </w:numPr>
        <w:spacing w:after="0" w:line="240" w:lineRule="auto"/>
      </w:pPr>
      <w:r w:rsidRPr="00793E42">
        <w:t>Evidence of experience of the role, either through observation or participation in aspects of the role</w:t>
      </w:r>
    </w:p>
    <w:bookmarkEnd w:id="1"/>
    <w:p w14:paraId="7315BEB8" w14:textId="77777777" w:rsidR="00EC2700" w:rsidRDefault="00EC2700" w:rsidP="00793E42">
      <w:pPr>
        <w:spacing w:after="0" w:line="240" w:lineRule="auto"/>
        <w:rPr>
          <w:b/>
          <w:bCs/>
        </w:rPr>
      </w:pPr>
    </w:p>
    <w:p w14:paraId="46672FF3" w14:textId="04F982A6" w:rsidR="00931F28" w:rsidRDefault="00931F28" w:rsidP="00793E42">
      <w:pPr>
        <w:spacing w:after="0" w:line="240" w:lineRule="auto"/>
        <w:rPr>
          <w:b/>
          <w:bCs/>
        </w:rPr>
      </w:pPr>
      <w:r>
        <w:rPr>
          <w:b/>
          <w:bCs/>
        </w:rPr>
        <w:t>How is APEL evidence assessed?</w:t>
      </w:r>
    </w:p>
    <w:p w14:paraId="4A453DDE" w14:textId="77777777" w:rsidR="00793E42" w:rsidRDefault="00793E42" w:rsidP="00793E42">
      <w:pPr>
        <w:spacing w:after="0" w:line="240" w:lineRule="auto"/>
        <w:rPr>
          <w:b/>
          <w:bCs/>
        </w:rPr>
      </w:pPr>
    </w:p>
    <w:p w14:paraId="79D73A90" w14:textId="5D6350DA" w:rsidR="00AF5B5A" w:rsidRDefault="00AF5B5A" w:rsidP="00793E42">
      <w:pPr>
        <w:spacing w:after="0" w:line="240" w:lineRule="auto"/>
      </w:pPr>
      <w:r w:rsidRPr="00793E42">
        <w:t xml:space="preserve">The ABTC mapping document is used to identify how each of the K&amp;U statements has been met. Some courses or experiences, which are large in scale and completed over many hours, may well be mapped to cover </w:t>
      </w:r>
      <w:proofErr w:type="gramStart"/>
      <w:r w:rsidRPr="00793E42">
        <w:t>a number of</w:t>
      </w:r>
      <w:proofErr w:type="gramEnd"/>
      <w:r w:rsidRPr="00793E42">
        <w:t xml:space="preserve"> the K&amp;U statements. Smaller activities and learning experiences may be more focused and only address a few, or even one, of the K&amp;U statements.</w:t>
      </w:r>
    </w:p>
    <w:p w14:paraId="4621A7EB" w14:textId="77777777" w:rsidR="00793E42" w:rsidRPr="00793E42" w:rsidRDefault="00793E42" w:rsidP="00793E42">
      <w:pPr>
        <w:spacing w:after="0" w:line="240" w:lineRule="auto"/>
      </w:pPr>
    </w:p>
    <w:p w14:paraId="034E67A0" w14:textId="77777777" w:rsidR="00EC2700" w:rsidRDefault="00EC2700" w:rsidP="00793E42">
      <w:pPr>
        <w:spacing w:after="0" w:line="240" w:lineRule="auto"/>
        <w:rPr>
          <w:b/>
          <w:bCs/>
        </w:rPr>
      </w:pPr>
    </w:p>
    <w:p w14:paraId="5953DFB3" w14:textId="22D72F27" w:rsidR="00AF5B5A" w:rsidRDefault="00AF5B5A" w:rsidP="00793E4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The mapping document</w:t>
      </w:r>
      <w:r w:rsidR="00EC2700">
        <w:rPr>
          <w:b/>
          <w:bCs/>
        </w:rPr>
        <w:t>s</w:t>
      </w:r>
      <w:r>
        <w:rPr>
          <w:b/>
          <w:bCs/>
        </w:rPr>
        <w:t xml:space="preserve"> show the sections of the K&amp;U for each </w:t>
      </w:r>
      <w:r w:rsidR="00793E42">
        <w:rPr>
          <w:b/>
          <w:bCs/>
        </w:rPr>
        <w:t xml:space="preserve">of the </w:t>
      </w:r>
      <w:r>
        <w:rPr>
          <w:b/>
          <w:bCs/>
        </w:rPr>
        <w:t>role</w:t>
      </w:r>
      <w:r w:rsidR="00793E42">
        <w:rPr>
          <w:b/>
          <w:bCs/>
        </w:rPr>
        <w:t>s</w:t>
      </w:r>
      <w:r>
        <w:rPr>
          <w:b/>
          <w:bCs/>
        </w:rPr>
        <w:t>:</w:t>
      </w:r>
    </w:p>
    <w:p w14:paraId="1D417264" w14:textId="77777777" w:rsidR="00793E42" w:rsidRDefault="00793E42" w:rsidP="00793E42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E93EF8" w:rsidRPr="00D427A4" w14:paraId="1B4CFE18" w14:textId="53A7D24F" w:rsidTr="00D427A4">
        <w:tc>
          <w:tcPr>
            <w:tcW w:w="5098" w:type="dxa"/>
          </w:tcPr>
          <w:p w14:paraId="5C008722" w14:textId="580E5D93" w:rsidR="00E93EF8" w:rsidRPr="00D427A4" w:rsidRDefault="00E93EF8" w:rsidP="00E93EF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D427A4">
              <w:rPr>
                <w:b/>
                <w:bCs/>
                <w:color w:val="002060"/>
                <w:sz w:val="28"/>
                <w:szCs w:val="28"/>
              </w:rPr>
              <w:t>K&amp;U Sections for ABT</w:t>
            </w:r>
          </w:p>
        </w:tc>
        <w:tc>
          <w:tcPr>
            <w:tcW w:w="4820" w:type="dxa"/>
          </w:tcPr>
          <w:p w14:paraId="683BF48B" w14:textId="377B95A6" w:rsidR="00E93EF8" w:rsidRPr="00D427A4" w:rsidRDefault="00E93EF8" w:rsidP="00E93EF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427A4">
              <w:rPr>
                <w:b/>
                <w:bCs/>
                <w:color w:val="FF0000"/>
                <w:sz w:val="28"/>
                <w:szCs w:val="28"/>
              </w:rPr>
              <w:t>K&amp;U Sections for CAB</w:t>
            </w:r>
          </w:p>
        </w:tc>
      </w:tr>
      <w:tr w:rsidR="00E93EF8" w14:paraId="27733811" w14:textId="5F215C26" w:rsidTr="00D427A4">
        <w:tc>
          <w:tcPr>
            <w:tcW w:w="5098" w:type="dxa"/>
          </w:tcPr>
          <w:p w14:paraId="24107C09" w14:textId="14EA775F" w:rsidR="00E93EF8" w:rsidRPr="00DD5EC1" w:rsidRDefault="00E93EF8" w:rsidP="00E93EF8">
            <w:pPr>
              <w:rPr>
                <w:b/>
                <w:bCs/>
                <w:color w:val="002060"/>
              </w:rPr>
            </w:pPr>
            <w:r w:rsidRPr="00DD5EC1">
              <w:rPr>
                <w:rFonts w:cstheme="minorHAnsi"/>
                <w:b/>
                <w:bCs/>
                <w:color w:val="002060"/>
              </w:rPr>
              <w:t>Animal Behaviour</w:t>
            </w:r>
          </w:p>
        </w:tc>
        <w:tc>
          <w:tcPr>
            <w:tcW w:w="4820" w:type="dxa"/>
          </w:tcPr>
          <w:p w14:paraId="1DD90DFA" w14:textId="1B28D9A6" w:rsidR="00E93EF8" w:rsidRPr="00E93EF8" w:rsidRDefault="00E93EF8" w:rsidP="00E93EF8">
            <w:pPr>
              <w:rPr>
                <w:rFonts w:cstheme="minorHAnsi"/>
                <w:b/>
                <w:bCs/>
                <w:color w:val="FF0000"/>
              </w:rPr>
            </w:pPr>
            <w:r w:rsidRPr="00E93EF8">
              <w:rPr>
                <w:b/>
                <w:bCs/>
                <w:color w:val="FF0000"/>
              </w:rPr>
              <w:t>Animal Behaviour</w:t>
            </w:r>
          </w:p>
        </w:tc>
      </w:tr>
      <w:tr w:rsidR="00E93EF8" w14:paraId="42C9E416" w14:textId="2AF9E013" w:rsidTr="00D427A4">
        <w:tc>
          <w:tcPr>
            <w:tcW w:w="5098" w:type="dxa"/>
          </w:tcPr>
          <w:p w14:paraId="08F1E424" w14:textId="36534644" w:rsidR="00E93EF8" w:rsidRPr="00DD5EC1" w:rsidRDefault="00E93EF8" w:rsidP="00E93EF8">
            <w:pPr>
              <w:rPr>
                <w:b/>
                <w:bCs/>
                <w:color w:val="002060"/>
              </w:rPr>
            </w:pPr>
            <w:r w:rsidRPr="00DD5EC1">
              <w:rPr>
                <w:rFonts w:cstheme="minorHAnsi"/>
                <w:b/>
                <w:bCs/>
                <w:color w:val="002060"/>
              </w:rPr>
              <w:t>Animal Health and Welfare</w:t>
            </w:r>
          </w:p>
        </w:tc>
        <w:tc>
          <w:tcPr>
            <w:tcW w:w="4820" w:type="dxa"/>
          </w:tcPr>
          <w:p w14:paraId="4F1611D7" w14:textId="09326EB4" w:rsidR="00E93EF8" w:rsidRPr="00E93EF8" w:rsidRDefault="00E93EF8" w:rsidP="00E93EF8">
            <w:pPr>
              <w:rPr>
                <w:rFonts w:cstheme="minorHAnsi"/>
                <w:b/>
                <w:bCs/>
                <w:color w:val="FF0000"/>
              </w:rPr>
            </w:pPr>
            <w:r w:rsidRPr="00E93EF8">
              <w:rPr>
                <w:b/>
                <w:bCs/>
                <w:color w:val="FF0000"/>
              </w:rPr>
              <w:t>Animal Health and Welfare</w:t>
            </w:r>
          </w:p>
        </w:tc>
      </w:tr>
      <w:tr w:rsidR="00E93EF8" w14:paraId="11486377" w14:textId="1CB75640" w:rsidTr="00D427A4">
        <w:tc>
          <w:tcPr>
            <w:tcW w:w="5098" w:type="dxa"/>
          </w:tcPr>
          <w:p w14:paraId="70E160B8" w14:textId="26F41568" w:rsidR="00E93EF8" w:rsidRPr="00DD5EC1" w:rsidRDefault="00E93EF8" w:rsidP="00E93EF8">
            <w:pPr>
              <w:rPr>
                <w:b/>
                <w:bCs/>
                <w:color w:val="002060"/>
              </w:rPr>
            </w:pPr>
            <w:r w:rsidRPr="00DD5EC1">
              <w:rPr>
                <w:rFonts w:cstheme="minorHAnsi"/>
                <w:b/>
                <w:bCs/>
                <w:color w:val="002060"/>
              </w:rPr>
              <w:t>Animal Learning and Training</w:t>
            </w:r>
          </w:p>
        </w:tc>
        <w:tc>
          <w:tcPr>
            <w:tcW w:w="4820" w:type="dxa"/>
          </w:tcPr>
          <w:p w14:paraId="4074935E" w14:textId="6ECDA81C" w:rsidR="00E93EF8" w:rsidRPr="00E93EF8" w:rsidRDefault="00E93EF8" w:rsidP="00E93EF8">
            <w:pPr>
              <w:rPr>
                <w:rFonts w:cstheme="minorHAnsi"/>
                <w:b/>
                <w:bCs/>
                <w:color w:val="FF0000"/>
              </w:rPr>
            </w:pPr>
            <w:r w:rsidRPr="00E93EF8">
              <w:rPr>
                <w:b/>
                <w:bCs/>
                <w:color w:val="FF0000"/>
              </w:rPr>
              <w:t>Animal Learning and Training</w:t>
            </w:r>
          </w:p>
        </w:tc>
      </w:tr>
      <w:tr w:rsidR="00E93EF8" w14:paraId="69A21A8C" w14:textId="534646E1" w:rsidTr="00D427A4">
        <w:tc>
          <w:tcPr>
            <w:tcW w:w="5098" w:type="dxa"/>
          </w:tcPr>
          <w:p w14:paraId="5D6793E8" w14:textId="10E426FC" w:rsidR="00E93EF8" w:rsidRPr="00DD5EC1" w:rsidRDefault="00E93EF8" w:rsidP="00E93EF8">
            <w:pPr>
              <w:rPr>
                <w:b/>
                <w:bCs/>
                <w:color w:val="002060"/>
              </w:rPr>
            </w:pPr>
            <w:r w:rsidRPr="00DD5EC1">
              <w:rPr>
                <w:b/>
                <w:bCs/>
                <w:color w:val="002060"/>
              </w:rPr>
              <w:t>The Interaction Between Health and Behaviour</w:t>
            </w:r>
          </w:p>
        </w:tc>
        <w:tc>
          <w:tcPr>
            <w:tcW w:w="4820" w:type="dxa"/>
          </w:tcPr>
          <w:p w14:paraId="4A19F563" w14:textId="62B72744" w:rsidR="00E93EF8" w:rsidRPr="00E93EF8" w:rsidRDefault="00E93EF8" w:rsidP="00E93EF8">
            <w:pPr>
              <w:rPr>
                <w:b/>
                <w:bCs/>
                <w:color w:val="FF0000"/>
              </w:rPr>
            </w:pPr>
            <w:r w:rsidRPr="00E93EF8">
              <w:rPr>
                <w:b/>
                <w:bCs/>
                <w:color w:val="FF0000"/>
              </w:rPr>
              <w:t>The Interaction Between Health and Behaviour</w:t>
            </w:r>
          </w:p>
        </w:tc>
      </w:tr>
      <w:tr w:rsidR="00E93EF8" w14:paraId="56262732" w14:textId="6ECC3DE9" w:rsidTr="00D427A4">
        <w:tc>
          <w:tcPr>
            <w:tcW w:w="5098" w:type="dxa"/>
          </w:tcPr>
          <w:p w14:paraId="039DC1F3" w14:textId="0E5EBF3C" w:rsidR="00E93EF8" w:rsidRPr="00DD5EC1" w:rsidRDefault="00E93EF8" w:rsidP="00E93EF8">
            <w:pPr>
              <w:rPr>
                <w:b/>
                <w:bCs/>
                <w:color w:val="002060"/>
              </w:rPr>
            </w:pPr>
            <w:r w:rsidRPr="00DD5EC1">
              <w:rPr>
                <w:b/>
                <w:bCs/>
                <w:color w:val="002060"/>
              </w:rPr>
              <w:t>Clinical Procedures</w:t>
            </w:r>
          </w:p>
        </w:tc>
        <w:tc>
          <w:tcPr>
            <w:tcW w:w="4820" w:type="dxa"/>
          </w:tcPr>
          <w:p w14:paraId="2C701858" w14:textId="3346C821" w:rsidR="00E93EF8" w:rsidRPr="00E93EF8" w:rsidRDefault="00E93EF8" w:rsidP="00E93EF8">
            <w:pPr>
              <w:rPr>
                <w:b/>
                <w:bCs/>
                <w:color w:val="FF0000"/>
              </w:rPr>
            </w:pPr>
            <w:r w:rsidRPr="00E93EF8">
              <w:rPr>
                <w:b/>
                <w:bCs/>
                <w:color w:val="FF0000"/>
              </w:rPr>
              <w:t>Clinical procedures</w:t>
            </w:r>
          </w:p>
        </w:tc>
      </w:tr>
      <w:tr w:rsidR="00E93EF8" w14:paraId="7F186472" w14:textId="6362B5D1" w:rsidTr="00D427A4">
        <w:tc>
          <w:tcPr>
            <w:tcW w:w="5098" w:type="dxa"/>
          </w:tcPr>
          <w:p w14:paraId="606E35F2" w14:textId="390D89DB" w:rsidR="00E93EF8" w:rsidRPr="00DD5EC1" w:rsidRDefault="00E93EF8" w:rsidP="00E93EF8">
            <w:pPr>
              <w:rPr>
                <w:b/>
                <w:bCs/>
                <w:color w:val="002060"/>
              </w:rPr>
            </w:pPr>
          </w:p>
        </w:tc>
        <w:tc>
          <w:tcPr>
            <w:tcW w:w="4820" w:type="dxa"/>
          </w:tcPr>
          <w:p w14:paraId="5CE60890" w14:textId="3D787BC5" w:rsidR="00E93EF8" w:rsidRPr="00E93EF8" w:rsidRDefault="00E93EF8" w:rsidP="00E93EF8">
            <w:pPr>
              <w:rPr>
                <w:b/>
                <w:bCs/>
                <w:color w:val="FF0000"/>
              </w:rPr>
            </w:pPr>
            <w:r w:rsidRPr="00E93EF8">
              <w:rPr>
                <w:b/>
                <w:bCs/>
                <w:color w:val="FF0000"/>
              </w:rPr>
              <w:t>Law and Ethics</w:t>
            </w:r>
          </w:p>
        </w:tc>
      </w:tr>
      <w:tr w:rsidR="00E93EF8" w14:paraId="1185CBBB" w14:textId="7FE35CE4" w:rsidTr="00D427A4">
        <w:tc>
          <w:tcPr>
            <w:tcW w:w="5098" w:type="dxa"/>
          </w:tcPr>
          <w:p w14:paraId="1ACEFB27" w14:textId="77777777" w:rsidR="00E93EF8" w:rsidRDefault="00E93EF8" w:rsidP="00E93EF8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506F9C33" w14:textId="52310FFA" w:rsidR="00E93EF8" w:rsidRPr="00E93EF8" w:rsidRDefault="00E93EF8" w:rsidP="00E93EF8">
            <w:pPr>
              <w:rPr>
                <w:b/>
                <w:bCs/>
                <w:color w:val="FF0000"/>
              </w:rPr>
            </w:pPr>
            <w:r w:rsidRPr="00E93EF8">
              <w:rPr>
                <w:b/>
                <w:bCs/>
                <w:color w:val="FF0000"/>
              </w:rPr>
              <w:t>Critical analysis and research</w:t>
            </w:r>
          </w:p>
        </w:tc>
      </w:tr>
    </w:tbl>
    <w:p w14:paraId="24294B88" w14:textId="77777777" w:rsidR="00AF5B5A" w:rsidRDefault="00AF5B5A" w:rsidP="00793E42">
      <w:pPr>
        <w:spacing w:after="0" w:line="240" w:lineRule="auto"/>
        <w:rPr>
          <w:b/>
          <w:bCs/>
        </w:rPr>
      </w:pPr>
    </w:p>
    <w:p w14:paraId="3C84871D" w14:textId="56F2DA50" w:rsidR="00931F28" w:rsidRDefault="00E93EF8" w:rsidP="00793E4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Below are </w:t>
      </w:r>
      <w:r w:rsidR="00931F28">
        <w:rPr>
          <w:b/>
          <w:bCs/>
        </w:rPr>
        <w:t xml:space="preserve">Example Applicants </w:t>
      </w:r>
      <w:r w:rsidR="00AF5B5A">
        <w:rPr>
          <w:b/>
          <w:bCs/>
        </w:rPr>
        <w:t>and the evidence they may provide</w:t>
      </w:r>
      <w:r>
        <w:rPr>
          <w:b/>
          <w:bCs/>
        </w:rPr>
        <w:t>. Please note the principles shown in these examples apply to both ABT and CAB</w:t>
      </w:r>
      <w:r w:rsidR="00D427A4">
        <w:rPr>
          <w:b/>
          <w:bCs/>
        </w:rPr>
        <w:t>:</w:t>
      </w:r>
    </w:p>
    <w:p w14:paraId="14089DB2" w14:textId="77777777" w:rsidR="00793E42" w:rsidRDefault="00793E42" w:rsidP="00793E42">
      <w:pPr>
        <w:spacing w:after="0" w:line="240" w:lineRule="auto"/>
        <w:rPr>
          <w:b/>
          <w:bCs/>
        </w:rPr>
      </w:pPr>
    </w:p>
    <w:p w14:paraId="095A4E21" w14:textId="77777777" w:rsidR="00793E42" w:rsidRPr="00EC2700" w:rsidRDefault="00931F28" w:rsidP="00793E42">
      <w:pPr>
        <w:spacing w:after="0" w:line="240" w:lineRule="auto"/>
        <w:rPr>
          <w:b/>
          <w:bCs/>
          <w:color w:val="7030A0"/>
        </w:rPr>
      </w:pPr>
      <w:r w:rsidRPr="00EC2700">
        <w:rPr>
          <w:b/>
          <w:bCs/>
          <w:color w:val="7030A0"/>
          <w:u w:val="single"/>
        </w:rPr>
        <w:t>Example 1</w:t>
      </w:r>
      <w:r w:rsidR="00AF5B5A" w:rsidRPr="00EC2700">
        <w:rPr>
          <w:b/>
          <w:bCs/>
          <w:color w:val="7030A0"/>
          <w:u w:val="single"/>
        </w:rPr>
        <w:t xml:space="preserve"> – A N Other</w:t>
      </w:r>
      <w:r w:rsidR="00AF5B5A" w:rsidRPr="00EC2700">
        <w:rPr>
          <w:b/>
          <w:bCs/>
          <w:color w:val="7030A0"/>
        </w:rPr>
        <w:t xml:space="preserve"> who has completed an ABTC recognised course and wants to apply for ABT, as a rescue centre employee, and who works mainly with cats – </w:t>
      </w:r>
    </w:p>
    <w:p w14:paraId="20F26081" w14:textId="72BAF51D" w:rsidR="00931F28" w:rsidRPr="00EC2700" w:rsidRDefault="00AF5B5A" w:rsidP="00793E4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7030A0"/>
        </w:rPr>
      </w:pPr>
      <w:r w:rsidRPr="00EC2700">
        <w:rPr>
          <w:b/>
          <w:bCs/>
          <w:color w:val="7030A0"/>
        </w:rPr>
        <w:t>provides the completed certificates for:</w:t>
      </w:r>
    </w:p>
    <w:p w14:paraId="2C2D3972" w14:textId="257F7640" w:rsidR="00AF5B5A" w:rsidRPr="00EC2700" w:rsidRDefault="00AF5B5A" w:rsidP="00793E42">
      <w:pPr>
        <w:spacing w:after="0" w:line="240" w:lineRule="auto"/>
        <w:rPr>
          <w:b/>
          <w:bCs/>
          <w:color w:val="7030A0"/>
        </w:rPr>
      </w:pPr>
      <w:r w:rsidRPr="00EC2700">
        <w:rPr>
          <w:b/>
          <w:bCs/>
          <w:color w:val="7030A0"/>
        </w:rPr>
        <w:t>Advanced Diploma Applied Animal Behaviour level 5 (Feline) [DL] – Compass Education Ltd </w:t>
      </w:r>
      <w:hyperlink r:id="rId6" w:history="1">
        <w:r w:rsidRPr="00EC2700">
          <w:rPr>
            <w:rStyle w:val="Hyperlink"/>
            <w:b/>
            <w:bCs/>
            <w:color w:val="2E74B5" w:themeColor="accent5" w:themeShade="BF"/>
          </w:rPr>
          <w:t>click here for link</w:t>
        </w:r>
      </w:hyperlink>
    </w:p>
    <w:p w14:paraId="3B21F802" w14:textId="299679A0" w:rsidR="00AF5B5A" w:rsidRPr="00EC2700" w:rsidRDefault="00AF5B5A" w:rsidP="00793E42">
      <w:pPr>
        <w:spacing w:after="0" w:line="240" w:lineRule="auto"/>
        <w:rPr>
          <w:b/>
          <w:bCs/>
          <w:color w:val="7030A0"/>
        </w:rPr>
      </w:pPr>
      <w:r w:rsidRPr="00EC2700">
        <w:rPr>
          <w:b/>
          <w:bCs/>
          <w:color w:val="7030A0"/>
        </w:rPr>
        <w:t>No further evidence is required</w:t>
      </w:r>
    </w:p>
    <w:p w14:paraId="0CC4BF4D" w14:textId="77777777" w:rsidR="00793E42" w:rsidRDefault="00793E42" w:rsidP="00793E42">
      <w:pPr>
        <w:spacing w:after="0" w:line="240" w:lineRule="auto"/>
        <w:rPr>
          <w:b/>
          <w:bCs/>
        </w:rPr>
      </w:pPr>
    </w:p>
    <w:p w14:paraId="568255E9" w14:textId="7716AD65" w:rsidR="00793E42" w:rsidRPr="00EC2700" w:rsidRDefault="00931F28" w:rsidP="00793E42">
      <w:pPr>
        <w:spacing w:after="0" w:line="240" w:lineRule="auto"/>
        <w:rPr>
          <w:b/>
          <w:bCs/>
          <w:color w:val="806000" w:themeColor="accent4" w:themeShade="80"/>
        </w:rPr>
      </w:pPr>
      <w:r w:rsidRPr="00EC2700">
        <w:rPr>
          <w:b/>
          <w:bCs/>
          <w:color w:val="806000" w:themeColor="accent4" w:themeShade="80"/>
          <w:u w:val="single"/>
        </w:rPr>
        <w:t xml:space="preserve">Example 2 </w:t>
      </w:r>
      <w:r w:rsidR="00AF5B5A" w:rsidRPr="00EC2700">
        <w:rPr>
          <w:b/>
          <w:bCs/>
          <w:color w:val="806000" w:themeColor="accent4" w:themeShade="80"/>
          <w:u w:val="single"/>
        </w:rPr>
        <w:t xml:space="preserve">– Bob T Builder </w:t>
      </w:r>
      <w:r w:rsidR="00AF5B5A" w:rsidRPr="00EC2700">
        <w:rPr>
          <w:b/>
          <w:bCs/>
          <w:color w:val="806000" w:themeColor="accent4" w:themeShade="80"/>
        </w:rPr>
        <w:t xml:space="preserve">who has </w:t>
      </w:r>
      <w:r w:rsidR="00002DC3" w:rsidRPr="00EC2700">
        <w:rPr>
          <w:b/>
          <w:bCs/>
          <w:color w:val="806000" w:themeColor="accent4" w:themeShade="80"/>
        </w:rPr>
        <w:t>completed part of an ABTC recognised course and wants to apply for CAB</w:t>
      </w:r>
      <w:r w:rsidR="00793E42" w:rsidRPr="00EC2700">
        <w:rPr>
          <w:b/>
          <w:bCs/>
          <w:color w:val="806000" w:themeColor="accent4" w:themeShade="80"/>
        </w:rPr>
        <w:t xml:space="preserve"> </w:t>
      </w:r>
      <w:r w:rsidR="00EC2700" w:rsidRPr="00EC2700">
        <w:rPr>
          <w:b/>
          <w:bCs/>
          <w:color w:val="806000" w:themeColor="accent4" w:themeShade="80"/>
        </w:rPr>
        <w:t xml:space="preserve">working with dogs </w:t>
      </w:r>
      <w:r w:rsidR="00793E42" w:rsidRPr="00EC2700">
        <w:rPr>
          <w:b/>
          <w:bCs/>
          <w:color w:val="806000" w:themeColor="accent4" w:themeShade="80"/>
        </w:rPr>
        <w:t xml:space="preserve">– </w:t>
      </w:r>
    </w:p>
    <w:p w14:paraId="692BE1D0" w14:textId="2929428D" w:rsidR="00931F28" w:rsidRPr="00EC2700" w:rsidRDefault="00793E42" w:rsidP="00793E4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806000" w:themeColor="accent4" w:themeShade="80"/>
        </w:rPr>
      </w:pPr>
      <w:r w:rsidRPr="00EC2700">
        <w:rPr>
          <w:b/>
          <w:bCs/>
          <w:color w:val="806000" w:themeColor="accent4" w:themeShade="80"/>
        </w:rPr>
        <w:t>provides the certificates for the modules completed for:</w:t>
      </w:r>
    </w:p>
    <w:p w14:paraId="73A31E8C" w14:textId="77777777" w:rsidR="00EC2700" w:rsidRPr="00EC2700" w:rsidRDefault="00793E42" w:rsidP="00793E42">
      <w:pPr>
        <w:spacing w:after="0" w:line="240" w:lineRule="auto"/>
        <w:rPr>
          <w:b/>
          <w:bCs/>
          <w:color w:val="806000" w:themeColor="accent4" w:themeShade="80"/>
        </w:rPr>
      </w:pPr>
      <w:r w:rsidRPr="00EC2700">
        <w:rPr>
          <w:b/>
          <w:bCs/>
          <w:color w:val="806000" w:themeColor="accent4" w:themeShade="80"/>
        </w:rPr>
        <w:t>BSc (Hons) Animal Science (Pet Behaviour and Welfare) [MP] </w:t>
      </w:r>
      <w:r w:rsidRPr="00EC2700">
        <w:rPr>
          <w:b/>
          <w:bCs/>
          <w:i/>
          <w:iCs/>
          <w:color w:val="806000" w:themeColor="accent4" w:themeShade="80"/>
        </w:rPr>
        <w:t> </w:t>
      </w:r>
      <w:r w:rsidRPr="00EC2700">
        <w:rPr>
          <w:b/>
          <w:bCs/>
          <w:color w:val="806000" w:themeColor="accent4" w:themeShade="80"/>
        </w:rPr>
        <w:t>– Writtle University College </w:t>
      </w:r>
      <w:hyperlink r:id="rId7" w:history="1">
        <w:r w:rsidRPr="00EC2700">
          <w:rPr>
            <w:rStyle w:val="Hyperlink"/>
            <w:b/>
            <w:bCs/>
            <w:color w:val="2E74B5" w:themeColor="accent5" w:themeShade="BF"/>
          </w:rPr>
          <w:t>click here for link</w:t>
        </w:r>
      </w:hyperlink>
      <w:r w:rsidRPr="00EC2700">
        <w:rPr>
          <w:b/>
          <w:bCs/>
          <w:color w:val="2E74B5" w:themeColor="accent5" w:themeShade="BF"/>
        </w:rPr>
        <w:t xml:space="preserve"> </w:t>
      </w:r>
    </w:p>
    <w:p w14:paraId="7EDAF514" w14:textId="4D5A00CA" w:rsidR="00793E42" w:rsidRPr="00EC2700" w:rsidRDefault="00793E42" w:rsidP="00793E42">
      <w:pPr>
        <w:spacing w:after="0" w:line="240" w:lineRule="auto"/>
        <w:rPr>
          <w:b/>
          <w:bCs/>
          <w:color w:val="806000" w:themeColor="accent4" w:themeShade="80"/>
        </w:rPr>
      </w:pPr>
      <w:r w:rsidRPr="00EC2700">
        <w:rPr>
          <w:b/>
          <w:bCs/>
          <w:color w:val="806000" w:themeColor="accent4" w:themeShade="80"/>
        </w:rPr>
        <w:t xml:space="preserve">which cover Animal Behaviour, Animal Health and Welfare, Animal Learning and Training, Behavioural Consequences of Medical Disorders, Critical Analysis and </w:t>
      </w:r>
      <w:r w:rsidR="00EC2700">
        <w:rPr>
          <w:b/>
          <w:bCs/>
          <w:color w:val="806000" w:themeColor="accent4" w:themeShade="80"/>
        </w:rPr>
        <w:t>R</w:t>
      </w:r>
      <w:r w:rsidRPr="00EC2700">
        <w:rPr>
          <w:b/>
          <w:bCs/>
          <w:color w:val="806000" w:themeColor="accent4" w:themeShade="80"/>
        </w:rPr>
        <w:t>esearch</w:t>
      </w:r>
    </w:p>
    <w:p w14:paraId="678E2FD0" w14:textId="77777777" w:rsidR="00EC2700" w:rsidRPr="00EC2700" w:rsidRDefault="00EC2700" w:rsidP="00793E42">
      <w:pPr>
        <w:spacing w:after="0" w:line="240" w:lineRule="auto"/>
        <w:rPr>
          <w:b/>
          <w:bCs/>
          <w:color w:val="806000" w:themeColor="accent4" w:themeShade="80"/>
        </w:rPr>
      </w:pPr>
    </w:p>
    <w:p w14:paraId="32E7181B" w14:textId="41CC1324" w:rsidR="00EC2700" w:rsidRPr="00EC2700" w:rsidRDefault="00EC2700" w:rsidP="00EC2700">
      <w:pPr>
        <w:rPr>
          <w:b/>
          <w:bCs/>
          <w:color w:val="806000" w:themeColor="accent4" w:themeShade="80"/>
        </w:rPr>
      </w:pPr>
      <w:r w:rsidRPr="00EC2700">
        <w:rPr>
          <w:b/>
          <w:bCs/>
          <w:color w:val="806000" w:themeColor="accent4" w:themeShade="80"/>
        </w:rPr>
        <w:t xml:space="preserve">Applies for APEL of </w:t>
      </w:r>
      <w:r>
        <w:rPr>
          <w:b/>
          <w:bCs/>
          <w:color w:val="806000" w:themeColor="accent4" w:themeShade="80"/>
        </w:rPr>
        <w:t xml:space="preserve">sections covering </w:t>
      </w:r>
      <w:r w:rsidRPr="00EC2700">
        <w:rPr>
          <w:b/>
          <w:bCs/>
          <w:color w:val="806000" w:themeColor="accent4" w:themeShade="80"/>
        </w:rPr>
        <w:t>Interaction Between Health and Behaviour, Clinical procedures, Law and Ethics</w:t>
      </w:r>
    </w:p>
    <w:p w14:paraId="649DDEA2" w14:textId="56285F46" w:rsidR="00793E42" w:rsidRPr="00EC2700" w:rsidRDefault="00793E42" w:rsidP="00793E4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806000" w:themeColor="accent4" w:themeShade="80"/>
        </w:rPr>
      </w:pPr>
      <w:r w:rsidRPr="00EC2700">
        <w:rPr>
          <w:b/>
          <w:bCs/>
          <w:color w:val="806000" w:themeColor="accent4" w:themeShade="80"/>
        </w:rPr>
        <w:t>provides the ABTC mapping document for Interaction Between Health and Behaviour, Clinical procedures, Law and Ethics</w:t>
      </w:r>
    </w:p>
    <w:p w14:paraId="77102F1D" w14:textId="7F9289FF" w:rsidR="00793E42" w:rsidRPr="00EC2700" w:rsidRDefault="00793E42" w:rsidP="00793E4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806000" w:themeColor="accent4" w:themeShade="80"/>
        </w:rPr>
      </w:pPr>
      <w:r w:rsidRPr="00EC2700">
        <w:rPr>
          <w:b/>
          <w:bCs/>
          <w:color w:val="806000" w:themeColor="accent4" w:themeShade="80"/>
        </w:rPr>
        <w:t>provides reflective logs for Interaction Between Health and Behaviour, Clinical procedures, Law and Ethics</w:t>
      </w:r>
    </w:p>
    <w:p w14:paraId="065AFD67" w14:textId="77777777" w:rsidR="00793E42" w:rsidRDefault="00793E42" w:rsidP="00793E42">
      <w:pPr>
        <w:spacing w:after="0" w:line="240" w:lineRule="auto"/>
        <w:rPr>
          <w:b/>
          <w:bCs/>
        </w:rPr>
      </w:pPr>
    </w:p>
    <w:p w14:paraId="606212A2" w14:textId="22133209" w:rsidR="00931F28" w:rsidRPr="00EC2700" w:rsidRDefault="00931F28" w:rsidP="00793E42">
      <w:pPr>
        <w:spacing w:after="0" w:line="240" w:lineRule="auto"/>
        <w:rPr>
          <w:b/>
          <w:bCs/>
          <w:color w:val="538135" w:themeColor="accent6" w:themeShade="BF"/>
        </w:rPr>
      </w:pPr>
      <w:r w:rsidRPr="00EC2700">
        <w:rPr>
          <w:b/>
          <w:bCs/>
          <w:color w:val="538135" w:themeColor="accent6" w:themeShade="BF"/>
          <w:u w:val="single"/>
        </w:rPr>
        <w:t>Example 3</w:t>
      </w:r>
      <w:r w:rsidR="00793E42" w:rsidRPr="00EC2700">
        <w:rPr>
          <w:b/>
          <w:bCs/>
          <w:color w:val="538135" w:themeColor="accent6" w:themeShade="BF"/>
          <w:u w:val="single"/>
        </w:rPr>
        <w:t xml:space="preserve"> – Lara Croft</w:t>
      </w:r>
      <w:r w:rsidR="00793E42" w:rsidRPr="00EC2700">
        <w:rPr>
          <w:b/>
          <w:bCs/>
          <w:color w:val="538135" w:themeColor="accent6" w:themeShade="BF"/>
        </w:rPr>
        <w:t xml:space="preserve"> who has completed all their learning through, workplace-based training</w:t>
      </w:r>
      <w:r w:rsidR="00EC2700" w:rsidRPr="00EC2700">
        <w:rPr>
          <w:b/>
          <w:bCs/>
          <w:color w:val="538135" w:themeColor="accent6" w:themeShade="BF"/>
        </w:rPr>
        <w:t>;</w:t>
      </w:r>
      <w:r w:rsidR="00793E42" w:rsidRPr="00EC2700">
        <w:rPr>
          <w:b/>
          <w:bCs/>
          <w:color w:val="538135" w:themeColor="accent6" w:themeShade="BF"/>
        </w:rPr>
        <w:t xml:space="preserve"> informal courses</w:t>
      </w:r>
      <w:r w:rsidR="00EC2700" w:rsidRPr="00EC2700">
        <w:rPr>
          <w:b/>
          <w:bCs/>
          <w:color w:val="538135" w:themeColor="accent6" w:themeShade="BF"/>
        </w:rPr>
        <w:t>;</w:t>
      </w:r>
      <w:r w:rsidR="00793E42" w:rsidRPr="00EC2700">
        <w:rPr>
          <w:b/>
          <w:bCs/>
          <w:color w:val="538135" w:themeColor="accent6" w:themeShade="BF"/>
        </w:rPr>
        <w:t xml:space="preserve"> </w:t>
      </w:r>
      <w:r w:rsidR="00EC2700" w:rsidRPr="00EC2700">
        <w:rPr>
          <w:b/>
          <w:bCs/>
          <w:color w:val="538135" w:themeColor="accent6" w:themeShade="BF"/>
        </w:rPr>
        <w:t xml:space="preserve">non-assessed courses, </w:t>
      </w:r>
      <w:r w:rsidR="00793E42" w:rsidRPr="00EC2700">
        <w:rPr>
          <w:b/>
          <w:bCs/>
          <w:color w:val="538135" w:themeColor="accent6" w:themeShade="BF"/>
        </w:rPr>
        <w:t>webinars, conferences</w:t>
      </w:r>
      <w:r w:rsidR="00EC2700" w:rsidRPr="00EC2700">
        <w:rPr>
          <w:b/>
          <w:bCs/>
          <w:color w:val="538135" w:themeColor="accent6" w:themeShade="BF"/>
        </w:rPr>
        <w:t>;</w:t>
      </w:r>
      <w:r w:rsidR="00793E42" w:rsidRPr="00EC2700">
        <w:rPr>
          <w:b/>
          <w:bCs/>
          <w:color w:val="538135" w:themeColor="accent6" w:themeShade="BF"/>
        </w:rPr>
        <w:t xml:space="preserve"> participation in aspects of the role</w:t>
      </w:r>
      <w:r w:rsidR="00EC2700" w:rsidRPr="00EC2700">
        <w:rPr>
          <w:b/>
          <w:bCs/>
          <w:color w:val="538135" w:themeColor="accent6" w:themeShade="BF"/>
        </w:rPr>
        <w:t xml:space="preserve"> over 8 years and is applying for APEL for the CAB role working with dogs – </w:t>
      </w:r>
    </w:p>
    <w:p w14:paraId="0A0F5680" w14:textId="09761D82" w:rsidR="00EC2700" w:rsidRPr="00EC2700" w:rsidRDefault="00EC2700" w:rsidP="00793E42">
      <w:pPr>
        <w:spacing w:after="0" w:line="240" w:lineRule="auto"/>
        <w:rPr>
          <w:b/>
          <w:bCs/>
          <w:color w:val="538135" w:themeColor="accent6" w:themeShade="BF"/>
        </w:rPr>
      </w:pPr>
    </w:p>
    <w:p w14:paraId="7FA193C4" w14:textId="1A327072" w:rsidR="00EC2700" w:rsidRPr="00EC2700" w:rsidRDefault="00EC2700" w:rsidP="00EC2700">
      <w:pPr>
        <w:numPr>
          <w:ilvl w:val="0"/>
          <w:numId w:val="4"/>
        </w:numPr>
        <w:spacing w:after="0" w:line="240" w:lineRule="auto"/>
        <w:rPr>
          <w:b/>
          <w:bCs/>
          <w:color w:val="538135" w:themeColor="accent6" w:themeShade="BF"/>
        </w:rPr>
      </w:pPr>
      <w:r w:rsidRPr="00EC2700">
        <w:rPr>
          <w:b/>
          <w:bCs/>
          <w:color w:val="538135" w:themeColor="accent6" w:themeShade="BF"/>
        </w:rPr>
        <w:t>provides the ABTC mapping document for all sections demonstrating understanding and knowledge for CAB through a range of learning activities</w:t>
      </w:r>
    </w:p>
    <w:p w14:paraId="4BD57FBC" w14:textId="7C4239B0" w:rsidR="00EC2700" w:rsidRPr="00EC2700" w:rsidRDefault="00EC2700" w:rsidP="00EC2700">
      <w:pPr>
        <w:numPr>
          <w:ilvl w:val="0"/>
          <w:numId w:val="4"/>
        </w:numPr>
        <w:spacing w:after="0" w:line="240" w:lineRule="auto"/>
        <w:rPr>
          <w:b/>
          <w:bCs/>
          <w:color w:val="538135" w:themeColor="accent6" w:themeShade="BF"/>
        </w:rPr>
      </w:pPr>
      <w:r w:rsidRPr="00EC2700">
        <w:rPr>
          <w:b/>
          <w:bCs/>
          <w:color w:val="538135" w:themeColor="accent6" w:themeShade="BF"/>
        </w:rPr>
        <w:t>provides reflective logs for all sections demonstrating understanding and knowledge for CAB through a range of learning activities – at the required level</w:t>
      </w:r>
    </w:p>
    <w:p w14:paraId="1356AFC3" w14:textId="589231FA" w:rsidR="00EC2700" w:rsidRPr="00EC2700" w:rsidRDefault="00EC2700" w:rsidP="00EC2700">
      <w:pPr>
        <w:spacing w:after="0" w:line="240" w:lineRule="auto"/>
        <w:ind w:left="720"/>
        <w:rPr>
          <w:b/>
          <w:bCs/>
        </w:rPr>
      </w:pPr>
    </w:p>
    <w:p w14:paraId="1FFE5F02" w14:textId="77777777" w:rsidR="00BB2B9B" w:rsidRPr="00791435" w:rsidRDefault="00BB2B9B" w:rsidP="00793E42">
      <w:pPr>
        <w:spacing w:after="0" w:line="240" w:lineRule="auto"/>
        <w:rPr>
          <w:b/>
          <w:bCs/>
        </w:rPr>
      </w:pPr>
    </w:p>
    <w:p w14:paraId="330D607F" w14:textId="167688A2" w:rsidR="0079086E" w:rsidRPr="00C77DC4" w:rsidRDefault="00C77DC4" w:rsidP="00793E42">
      <w:pPr>
        <w:spacing w:after="0" w:line="240" w:lineRule="auto"/>
        <w:rPr>
          <w:b/>
          <w:bCs/>
        </w:rPr>
      </w:pPr>
      <w:r w:rsidRPr="00C77DC4">
        <w:rPr>
          <w:b/>
          <w:bCs/>
        </w:rPr>
        <w:t xml:space="preserve">Examples of completed Mapping Document for ABT and </w:t>
      </w:r>
      <w:r>
        <w:rPr>
          <w:b/>
          <w:bCs/>
        </w:rPr>
        <w:t>corresponding c</w:t>
      </w:r>
      <w:r w:rsidRPr="00C77DC4">
        <w:rPr>
          <w:b/>
          <w:bCs/>
        </w:rPr>
        <w:t>ompleted Reflective Logs</w:t>
      </w:r>
    </w:p>
    <w:sectPr w:rsidR="0079086E" w:rsidRPr="00C77DC4" w:rsidSect="00EC27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51B"/>
    <w:multiLevelType w:val="hybridMultilevel"/>
    <w:tmpl w:val="874E5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BB4"/>
    <w:multiLevelType w:val="hybridMultilevel"/>
    <w:tmpl w:val="03E8459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CC086C"/>
    <w:multiLevelType w:val="hybridMultilevel"/>
    <w:tmpl w:val="6EFC1A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34265"/>
    <w:multiLevelType w:val="hybridMultilevel"/>
    <w:tmpl w:val="2EE4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6E"/>
    <w:rsid w:val="00002DC3"/>
    <w:rsid w:val="0079086E"/>
    <w:rsid w:val="00791435"/>
    <w:rsid w:val="00793E42"/>
    <w:rsid w:val="00931F28"/>
    <w:rsid w:val="00987D5C"/>
    <w:rsid w:val="00A60D72"/>
    <w:rsid w:val="00AF5B5A"/>
    <w:rsid w:val="00BB2B9B"/>
    <w:rsid w:val="00BD66C6"/>
    <w:rsid w:val="00C47206"/>
    <w:rsid w:val="00C71F10"/>
    <w:rsid w:val="00C77DC4"/>
    <w:rsid w:val="00D427A4"/>
    <w:rsid w:val="00D85DAD"/>
    <w:rsid w:val="00DD5EC1"/>
    <w:rsid w:val="00DF3505"/>
    <w:rsid w:val="00E93EF8"/>
    <w:rsid w:val="00EC2700"/>
    <w:rsid w:val="00F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F37F"/>
  <w15:chartTrackingRefBased/>
  <w15:docId w15:val="{1C006840-CE91-4260-B06C-B916E90A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D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rittle.ac.uk/BSc-(Hons)-Animal-Science-(Pet-Behaviour-and-Welfar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ss-education.co.uk/Advanced-Diploma-in-Feline-Behaviour-Management-p/csc-adcfm.htm" TargetMode="External"/><Relationship Id="rId5" Type="http://schemas.openxmlformats.org/officeDocument/2006/relationships/hyperlink" Target="https://abtc.org.uk/practitioners-info/care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dcterms:created xsi:type="dcterms:W3CDTF">2021-10-26T10:27:00Z</dcterms:created>
  <dcterms:modified xsi:type="dcterms:W3CDTF">2021-10-29T14:47:00Z</dcterms:modified>
</cp:coreProperties>
</file>